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b w:val="0"/>
          <w:bCs w:val="0"/>
          <w:color w:val="auto"/>
          <w:spacing w:val="-6"/>
          <w:sz w:val="36"/>
          <w:szCs w:val="44"/>
          <w:lang w:val="en-US" w:eastAsia="zh-CN"/>
        </w:rPr>
      </w:pPr>
      <w:bookmarkStart w:id="0" w:name="OLE_LINK4"/>
      <w:bookmarkStart w:id="19" w:name="_GoBack"/>
      <w:r>
        <w:rPr>
          <w:rFonts w:hint="eastAsia" w:ascii="方正小标宋简体" w:hAnsi="方正小标宋简体" w:eastAsia="方正小标宋简体" w:cs="方正小标宋简体"/>
          <w:b w:val="0"/>
          <w:bCs w:val="0"/>
          <w:color w:val="auto"/>
          <w:spacing w:val="-6"/>
          <w:sz w:val="36"/>
          <w:szCs w:val="44"/>
          <w:lang w:val="en-US" w:eastAsia="zh-CN"/>
        </w:rPr>
        <w:t>西藏自治区林草地方标准文本与编制说明</w:t>
      </w:r>
      <w:bookmarkEnd w:id="0"/>
      <w:r>
        <w:rPr>
          <w:rFonts w:hint="eastAsia" w:ascii="方正小标宋简体" w:hAnsi="方正小标宋简体" w:eastAsia="方正小标宋简体" w:cs="方正小标宋简体"/>
          <w:b w:val="0"/>
          <w:bCs w:val="0"/>
          <w:color w:val="auto"/>
          <w:spacing w:val="-6"/>
          <w:sz w:val="36"/>
          <w:szCs w:val="44"/>
          <w:lang w:val="en-US" w:eastAsia="zh-CN"/>
        </w:rPr>
        <w:t>编制注意事项</w:t>
      </w:r>
      <w:bookmarkEnd w:id="19"/>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西藏自治区林业和草原标准化技术委员会秘书处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（2025年7月31日）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default"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val="0"/>
          <w:color w:val="auto"/>
          <w:sz w:val="32"/>
          <w:szCs w:val="40"/>
          <w:lang w:val="en-US" w:eastAsia="zh-CN"/>
        </w:rPr>
      </w:pPr>
      <w:bookmarkStart w:id="1" w:name="OLE_LINK3"/>
      <w:r>
        <w:rPr>
          <w:rFonts w:hint="eastAsia" w:ascii="黑体" w:hAnsi="黑体" w:eastAsia="黑体" w:cs="黑体"/>
          <w:b w:val="0"/>
          <w:bCs w:val="0"/>
          <w:color w:val="auto"/>
          <w:sz w:val="32"/>
          <w:szCs w:val="40"/>
          <w:lang w:val="en-US" w:eastAsia="zh-CN"/>
        </w:rPr>
        <w:t>一、《标准文本》编制注意事项</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《标准文本》格式和内容应符合GB/T 1.1《标准化工作导则—第1部分：标准化文件的结构和起草规则》、GB/T 20000《标准化工作指南》、GB/T 20001《标准化编写规则》等系列国家标准的要求。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40"/>
          <w:lang w:val="en-US" w:eastAsia="zh-CN"/>
        </w:rPr>
        <w:t>格式应</w:t>
      </w:r>
      <w:r>
        <w:rPr>
          <w:rFonts w:hint="default" w:ascii="Times New Roman" w:hAnsi="Times New Roman" w:eastAsia="仿宋" w:cs="Times New Roman"/>
          <w:color w:val="auto"/>
          <w:sz w:val="32"/>
          <w:szCs w:val="32"/>
          <w:lang w:val="en-US" w:eastAsia="zh-CN"/>
        </w:rPr>
        <w:t>严格按照上述国家标准编写，或参照已发布的国家标准。也可采用本文附件中的模板。</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（2）可使用</w:t>
      </w:r>
      <w:r>
        <w:rPr>
          <w:rFonts w:hint="eastAsia" w:ascii="Times New Roman" w:hAnsi="Times New Roman" w:eastAsia="仿宋" w:cs="Times New Roman"/>
          <w:color w:val="auto"/>
          <w:sz w:val="32"/>
          <w:szCs w:val="32"/>
          <w:lang w:val="en-US" w:eastAsia="zh-CN"/>
        </w:rPr>
        <w:t>书籍</w:t>
      </w:r>
      <w:r>
        <w:rPr>
          <w:rFonts w:hint="default" w:ascii="Times New Roman" w:hAnsi="Times New Roman" w:eastAsia="仿宋" w:cs="Times New Roman"/>
          <w:color w:val="auto"/>
          <w:sz w:val="32"/>
          <w:szCs w:val="32"/>
          <w:lang w:val="en-US" w:eastAsia="zh-CN"/>
        </w:rPr>
        <w:t>《标准化文件的起草》</w:t>
      </w:r>
      <w:r>
        <w:rPr>
          <w:rFonts w:hint="eastAsia" w:ascii="Times New Roman" w:hAnsi="Times New Roman" w:eastAsia="仿宋" w:cs="Times New Roman"/>
          <w:color w:val="auto"/>
          <w:sz w:val="32"/>
          <w:szCs w:val="32"/>
          <w:lang w:val="en-US" w:eastAsia="zh-CN"/>
        </w:rPr>
        <w:t>随书附送的“</w:t>
      </w:r>
      <w:r>
        <w:rPr>
          <w:rFonts w:hint="default" w:ascii="Times New Roman" w:hAnsi="Times New Roman" w:eastAsia="仿宋" w:cs="Times New Roman"/>
          <w:color w:val="auto"/>
          <w:sz w:val="32"/>
          <w:szCs w:val="32"/>
          <w:lang w:val="en-US" w:eastAsia="zh-CN"/>
        </w:rPr>
        <w:t>标准化文件编写工具软件（SET2020/SET2025）</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进行编辑，该插件结合WORD或WPS可直接输出规范格式。</w:t>
      </w:r>
    </w:p>
    <w:bookmarkEnd w:id="1"/>
    <w:p>
      <w:pPr>
        <w:keepNext w:val="0"/>
        <w:keepLines w:val="0"/>
        <w:pageBreakBefore w:val="0"/>
        <w:widowControl w:val="0"/>
        <w:numPr>
          <w:ilvl w:val="0"/>
          <w:numId w:val="2"/>
        </w:numPr>
        <w:kinsoku/>
        <w:wordWrap/>
        <w:overflowPunct/>
        <w:topLinePunct w:val="0"/>
        <w:autoSpaceDE/>
        <w:autoSpaceDN/>
        <w:bidi w:val="0"/>
        <w:adjustRightInd/>
        <w:ind w:left="425" w:leftChars="0" w:hanging="425" w:firstLineChars="0"/>
        <w:textAlignment w:val="auto"/>
        <w:rPr>
          <w:rFonts w:hint="default" w:ascii="Times New Roman" w:hAnsi="Times New Roman" w:eastAsia="仿宋" w:cs="Times New Roman"/>
          <w:color w:val="auto"/>
          <w:sz w:val="28"/>
          <w:szCs w:val="36"/>
          <w:lang w:val="en-US" w:eastAsia="zh-CN"/>
        </w:rPr>
      </w:pPr>
      <w:r>
        <w:rPr>
          <w:rFonts w:hint="default" w:ascii="Times New Roman" w:hAnsi="Times New Roman" w:eastAsia="仿宋" w:cs="Times New Roman"/>
          <w:color w:val="auto"/>
          <w:sz w:val="32"/>
          <w:szCs w:val="40"/>
          <w:lang w:val="en-US" w:eastAsia="zh-CN"/>
        </w:rPr>
        <w:t>《标准文本》主要内容包括但不限于以下内容：</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4"/>
          <w:szCs w:val="22"/>
          <w:lang w:val="en-US" w:eastAsia="zh-CN"/>
        </w:rPr>
      </w:pPr>
      <w:r>
        <w:rPr>
          <w:rFonts w:hint="eastAsia"/>
          <w:color w:val="auto"/>
          <w:sz w:val="24"/>
          <w:szCs w:val="22"/>
          <w:lang w:val="en-US" w:eastAsia="zh-CN"/>
        </w:rPr>
        <w:t>封面</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default"/>
          <w:color w:val="auto"/>
          <w:sz w:val="24"/>
          <w:szCs w:val="22"/>
          <w:lang w:val="en-US" w:eastAsia="zh-CN"/>
        </w:rPr>
      </w:pPr>
      <w:r>
        <w:rPr>
          <w:rFonts w:hint="eastAsia"/>
          <w:color w:val="auto"/>
          <w:sz w:val="24"/>
          <w:szCs w:val="22"/>
          <w:lang w:val="en-US" w:eastAsia="zh-CN"/>
        </w:rPr>
        <w:t>目次（1-3章列到一级，4章后列到二级标题）</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8"/>
          <w:szCs w:val="24"/>
          <w:lang w:val="en-US" w:eastAsia="zh-CN"/>
        </w:rPr>
      </w:pPr>
      <w:r>
        <w:rPr>
          <w:rFonts w:hint="eastAsia"/>
          <w:color w:val="auto"/>
          <w:sz w:val="28"/>
          <w:szCs w:val="24"/>
          <w:lang w:val="en-US" w:eastAsia="zh-CN"/>
        </w:rPr>
        <w:t>前言</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ascii="楷体" w:hAnsi="楷体" w:eastAsia="楷体" w:cs="楷体"/>
          <w:color w:val="auto"/>
          <w:kern w:val="2"/>
          <w:sz w:val="32"/>
          <w:szCs w:val="40"/>
          <w:lang w:val="en-US" w:eastAsia="zh-CN" w:bidi="ar-SA"/>
        </w:rPr>
      </w:pPr>
      <w:r>
        <w:rPr>
          <w:rFonts w:hint="eastAsia"/>
          <w:color w:val="auto"/>
          <w:sz w:val="28"/>
          <w:szCs w:val="24"/>
          <w:lang w:val="en-US" w:eastAsia="zh-CN"/>
        </w:rPr>
        <w:t>引言</w:t>
      </w:r>
      <w:r>
        <w:rPr>
          <w:rFonts w:hint="eastAsia" w:ascii="楷体" w:hAnsi="楷体" w:eastAsia="楷体" w:cs="楷体"/>
          <w:color w:val="auto"/>
          <w:kern w:val="2"/>
          <w:sz w:val="32"/>
          <w:szCs w:val="40"/>
          <w:lang w:val="en-US" w:eastAsia="zh-CN" w:bidi="ar-SA"/>
        </w:rPr>
        <w:t>（系列标准和包含专利内容的标准需要引言，非系列标准和不含专利内容的标准不需要）</w:t>
      </w:r>
    </w:p>
    <w:p>
      <w:pPr>
        <w:pStyle w:val="9"/>
        <w:ind w:left="0" w:leftChars="0" w:firstLine="0" w:firstLineChars="0"/>
        <w:rPr>
          <w:color w:val="auto"/>
        </w:rPr>
      </w:pPr>
      <w:r>
        <w:rPr>
          <w:color w:val="auto"/>
        </w:rPr>
        <w:drawing>
          <wp:inline distT="0" distB="0" distL="114300" distR="114300">
            <wp:extent cx="5480685" cy="2551430"/>
            <wp:effectExtent l="0" t="0" r="571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480685" cy="2551430"/>
                    </a:xfrm>
                    <a:prstGeom prst="rect">
                      <a:avLst/>
                    </a:prstGeom>
                    <a:noFill/>
                    <a:ln>
                      <a:noFill/>
                    </a:ln>
                  </pic:spPr>
                </pic:pic>
              </a:graphicData>
            </a:graphic>
          </wp:inline>
        </w:drawing>
      </w:r>
    </w:p>
    <w:p>
      <w:pPr>
        <w:pStyle w:val="9"/>
        <w:rPr>
          <w:rFonts w:hint="default" w:eastAsia="宋体"/>
          <w:color w:val="auto"/>
          <w:lang w:val="en-US" w:eastAsia="zh-CN"/>
        </w:rPr>
      </w:pPr>
      <w:r>
        <w:rPr>
          <w:rFonts w:hint="eastAsia"/>
          <w:color w:val="auto"/>
          <w:lang w:eastAsia="zh-CN"/>
        </w:rPr>
        <w:t>（</w:t>
      </w:r>
      <w:r>
        <w:rPr>
          <w:rFonts w:hint="eastAsia"/>
          <w:color w:val="auto"/>
          <w:lang w:val="en-US" w:eastAsia="zh-CN"/>
        </w:rPr>
        <w:t>注：专利说明格式示例，由标准化文件编写工具软件SET2025生成）</w:t>
      </w:r>
    </w:p>
    <w:p>
      <w:pPr>
        <w:pStyle w:val="8"/>
        <w:keepNext w:val="0"/>
        <w:keepLines w:val="0"/>
        <w:pageBreakBefore w:val="0"/>
        <w:widowControl w:val="0"/>
        <w:numPr>
          <w:ilvl w:val="1"/>
          <w:numId w:val="1"/>
        </w:numPr>
        <w:kinsoku/>
        <w:wordWrap/>
        <w:overflowPunct/>
        <w:topLinePunct w:val="0"/>
        <w:autoSpaceDE/>
        <w:autoSpaceDN/>
        <w:bidi w:val="0"/>
        <w:adjustRightInd/>
        <w:snapToGrid/>
        <w:spacing w:before="0" w:beforeLines="0" w:after="0" w:afterLines="0" w:line="360" w:lineRule="auto"/>
        <w:ind w:left="630" w:leftChars="300"/>
        <w:textAlignment w:val="auto"/>
        <w:rPr>
          <w:color w:val="auto"/>
          <w:sz w:val="28"/>
          <w:szCs w:val="24"/>
        </w:rPr>
      </w:pPr>
      <w:bookmarkStart w:id="2" w:name="_Toc24884218"/>
      <w:bookmarkStart w:id="3" w:name="_Toc17233325"/>
      <w:bookmarkStart w:id="4" w:name="_Toc26986771"/>
      <w:bookmarkStart w:id="5" w:name="_Toc26718930"/>
      <w:bookmarkStart w:id="6" w:name="_Toc24884211"/>
      <w:bookmarkStart w:id="7" w:name="_Toc26648465"/>
      <w:bookmarkStart w:id="8" w:name="_Toc97191423"/>
      <w:bookmarkStart w:id="9" w:name="_Toc17233333"/>
      <w:bookmarkStart w:id="10" w:name="_Toc26986530"/>
      <w:r>
        <w:rPr>
          <w:rFonts w:hint="eastAsia"/>
          <w:color w:val="auto"/>
          <w:sz w:val="28"/>
          <w:szCs w:val="24"/>
        </w:rPr>
        <w:t>范围</w:t>
      </w:r>
      <w:bookmarkEnd w:id="2"/>
      <w:bookmarkEnd w:id="3"/>
      <w:bookmarkEnd w:id="4"/>
      <w:bookmarkEnd w:id="5"/>
      <w:bookmarkEnd w:id="6"/>
      <w:bookmarkEnd w:id="7"/>
      <w:bookmarkEnd w:id="8"/>
      <w:bookmarkEnd w:id="9"/>
      <w:bookmarkEnd w:id="10"/>
    </w:p>
    <w:p>
      <w:pPr>
        <w:pStyle w:val="8"/>
        <w:keepNext w:val="0"/>
        <w:keepLines w:val="0"/>
        <w:pageBreakBefore w:val="0"/>
        <w:widowControl w:val="0"/>
        <w:numPr>
          <w:ilvl w:val="1"/>
          <w:numId w:val="1"/>
        </w:numPr>
        <w:kinsoku/>
        <w:wordWrap/>
        <w:overflowPunct/>
        <w:topLinePunct w:val="0"/>
        <w:autoSpaceDE/>
        <w:autoSpaceDN/>
        <w:bidi w:val="0"/>
        <w:adjustRightInd/>
        <w:snapToGrid/>
        <w:spacing w:before="0" w:beforeLines="0" w:after="0" w:afterLines="0" w:line="360" w:lineRule="auto"/>
        <w:ind w:left="630" w:leftChars="300"/>
        <w:textAlignment w:val="auto"/>
        <w:rPr>
          <w:color w:val="auto"/>
          <w:sz w:val="28"/>
          <w:szCs w:val="24"/>
        </w:rPr>
      </w:pPr>
      <w:bookmarkStart w:id="11" w:name="_Toc26718931"/>
      <w:bookmarkStart w:id="12" w:name="_Toc26986531"/>
      <w:bookmarkStart w:id="13" w:name="_Toc26986772"/>
      <w:bookmarkStart w:id="14" w:name="_Toc97191424"/>
      <w:r>
        <w:rPr>
          <w:rFonts w:hint="eastAsia"/>
          <w:color w:val="auto"/>
          <w:sz w:val="28"/>
          <w:szCs w:val="24"/>
        </w:rPr>
        <w:t>规范性引用文件</w:t>
      </w:r>
      <w:bookmarkEnd w:id="11"/>
      <w:bookmarkEnd w:id="12"/>
      <w:bookmarkEnd w:id="13"/>
      <w:bookmarkEnd w:id="14"/>
    </w:p>
    <w:p>
      <w:pPr>
        <w:pStyle w:val="8"/>
        <w:keepNext w:val="0"/>
        <w:keepLines w:val="0"/>
        <w:pageBreakBefore w:val="0"/>
        <w:widowControl w:val="0"/>
        <w:numPr>
          <w:ilvl w:val="1"/>
          <w:numId w:val="1"/>
        </w:numPr>
        <w:kinsoku/>
        <w:wordWrap/>
        <w:overflowPunct/>
        <w:topLinePunct w:val="0"/>
        <w:autoSpaceDE/>
        <w:autoSpaceDN/>
        <w:bidi w:val="0"/>
        <w:adjustRightInd/>
        <w:snapToGrid/>
        <w:spacing w:before="0" w:beforeLines="0" w:after="0" w:afterLines="0" w:line="360" w:lineRule="auto"/>
        <w:ind w:left="630" w:leftChars="300"/>
        <w:textAlignment w:val="auto"/>
        <w:rPr>
          <w:color w:val="auto"/>
          <w:sz w:val="28"/>
          <w:szCs w:val="24"/>
        </w:rPr>
      </w:pPr>
      <w:bookmarkStart w:id="15" w:name="_Toc97191425"/>
      <w:r>
        <w:rPr>
          <w:rFonts w:hint="eastAsia"/>
          <w:color w:val="auto"/>
          <w:sz w:val="28"/>
          <w:szCs w:val="28"/>
        </w:rPr>
        <w:t>术语和定义</w:t>
      </w:r>
      <w:bookmarkEnd w:id="15"/>
    </w:p>
    <w:p>
      <w:pPr>
        <w:pStyle w:val="8"/>
        <w:keepNext w:val="0"/>
        <w:keepLines w:val="0"/>
        <w:pageBreakBefore w:val="0"/>
        <w:widowControl w:val="0"/>
        <w:numPr>
          <w:ilvl w:val="1"/>
          <w:numId w:val="1"/>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8"/>
          <w:szCs w:val="24"/>
          <w:lang w:val="en-US" w:eastAsia="zh-CN"/>
        </w:rPr>
      </w:pPr>
      <w:r>
        <w:rPr>
          <w:rFonts w:hint="eastAsia"/>
          <w:color w:val="auto"/>
          <w:sz w:val="28"/>
          <w:szCs w:val="24"/>
          <w:lang w:val="en-US" w:eastAsia="zh-CN"/>
        </w:rPr>
        <w:t>其他内容</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8"/>
          <w:szCs w:val="24"/>
        </w:rPr>
      </w:pPr>
      <w:r>
        <w:rPr>
          <w:rFonts w:hint="eastAsia"/>
          <w:color w:val="auto"/>
          <w:sz w:val="28"/>
          <w:szCs w:val="24"/>
        </w:rPr>
        <w:t>附 录</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8"/>
          <w:szCs w:val="24"/>
        </w:rPr>
      </w:pPr>
      <w:r>
        <w:rPr>
          <w:rFonts w:hint="eastAsia"/>
          <w:color w:val="auto"/>
          <w:sz w:val="28"/>
          <w:szCs w:val="24"/>
        </w:rPr>
        <w:t>参考文献</w:t>
      </w:r>
      <w:r>
        <w:rPr>
          <w:rFonts w:hint="eastAsia" w:ascii="楷体" w:hAnsi="楷体" w:eastAsia="楷体" w:cs="楷体"/>
          <w:color w:val="auto"/>
          <w:kern w:val="2"/>
          <w:sz w:val="32"/>
          <w:szCs w:val="40"/>
          <w:lang w:val="en-US" w:eastAsia="zh-CN" w:bidi="ar-SA"/>
        </w:rPr>
        <w:t>（如果有，自行补充）</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28"/>
          <w:szCs w:val="36"/>
          <w:lang w:val="en-US" w:eastAsia="zh-CN"/>
        </w:rPr>
      </w:pPr>
      <w:r>
        <w:rPr>
          <w:rFonts w:hint="default" w:ascii="Times New Roman" w:hAnsi="Times New Roman" w:eastAsia="仿宋" w:cs="Times New Roman"/>
          <w:color w:val="auto"/>
          <w:sz w:val="32"/>
          <w:szCs w:val="32"/>
          <w:lang w:val="en-US" w:eastAsia="zh-CN"/>
        </w:rPr>
        <w:t>地方标准的编号由地方标准代号、顺序号和年代号三部分组成</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西藏自治区级地方标准代号为“DB54”</w:t>
      </w:r>
      <w:r>
        <w:rPr>
          <w:rFonts w:hint="eastAsia" w:ascii="Times New Roman" w:hAnsi="Times New Roman" w:eastAsia="仿宋" w:cs="Times New Roman"/>
          <w:color w:val="auto"/>
          <w:sz w:val="32"/>
          <w:szCs w:val="32"/>
          <w:lang w:val="en-US" w:eastAsia="zh-CN"/>
        </w:rPr>
        <w:t>，ICS分类号和CCS分类号编制组自行查证后填写。</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28"/>
          <w:szCs w:val="36"/>
          <w:lang w:val="en-US" w:eastAsia="zh-CN"/>
        </w:rPr>
      </w:pPr>
      <w:r>
        <w:rPr>
          <w:rFonts w:hint="default" w:ascii="Times New Roman" w:hAnsi="Times New Roman" w:eastAsia="仿宋" w:cs="Times New Roman"/>
          <w:color w:val="auto"/>
          <w:sz w:val="32"/>
          <w:szCs w:val="32"/>
          <w:lang w:val="en-US" w:eastAsia="zh-CN"/>
        </w:rPr>
        <w:t>因申报的都是西藏地方标准，所以标准标题里一般不需要“西藏”或“西藏自治区”。</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28"/>
          <w:szCs w:val="36"/>
          <w:lang w:val="en-US" w:eastAsia="zh-CN"/>
        </w:rPr>
      </w:pPr>
      <w:r>
        <w:rPr>
          <w:rFonts w:hint="default" w:ascii="Times New Roman" w:hAnsi="Times New Roman" w:eastAsia="仿宋" w:cs="Times New Roman"/>
          <w:color w:val="auto"/>
          <w:sz w:val="32"/>
          <w:szCs w:val="32"/>
          <w:lang w:val="en-US" w:eastAsia="zh-CN"/>
        </w:rPr>
        <w:t>标题禁止与国标、行标的标题完全一致。</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28"/>
          <w:szCs w:val="36"/>
          <w:lang w:val="en-US" w:eastAsia="zh-CN"/>
        </w:rPr>
      </w:pPr>
      <w:r>
        <w:rPr>
          <w:rFonts w:hint="default" w:ascii="Times New Roman" w:hAnsi="Times New Roman" w:eastAsia="仿宋" w:cs="Times New Roman"/>
          <w:color w:val="auto"/>
          <w:sz w:val="32"/>
          <w:szCs w:val="32"/>
          <w:lang w:val="en-US" w:eastAsia="zh-CN"/>
        </w:rPr>
        <w:t>西藏地方标准的标题、术语和定义中均</w:t>
      </w:r>
      <w:r>
        <w:rPr>
          <w:rFonts w:hint="eastAsia" w:ascii="Times New Roman" w:hAnsi="Times New Roman" w:eastAsia="仿宋" w:cs="Times New Roman"/>
          <w:color w:val="auto"/>
          <w:sz w:val="32"/>
          <w:szCs w:val="32"/>
          <w:lang w:val="en-US" w:eastAsia="zh-CN"/>
        </w:rPr>
        <w:t>可</w:t>
      </w:r>
      <w:r>
        <w:rPr>
          <w:rFonts w:hint="default" w:ascii="Times New Roman" w:hAnsi="Times New Roman" w:eastAsia="仿宋" w:cs="Times New Roman"/>
          <w:color w:val="auto"/>
          <w:sz w:val="32"/>
          <w:szCs w:val="32"/>
          <w:lang w:val="en-US" w:eastAsia="zh-CN"/>
        </w:rPr>
        <w:t>不加英文。</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28"/>
          <w:szCs w:val="36"/>
          <w:lang w:val="en-US" w:eastAsia="zh-CN"/>
        </w:rPr>
      </w:pPr>
      <w:r>
        <w:rPr>
          <w:rFonts w:hint="default" w:ascii="Times New Roman" w:hAnsi="Times New Roman" w:eastAsia="仿宋" w:cs="Times New Roman"/>
          <w:color w:val="auto"/>
          <w:sz w:val="32"/>
          <w:szCs w:val="40"/>
          <w:lang w:val="en-US" w:eastAsia="zh-CN"/>
        </w:rPr>
        <w:t>按标准起草、修订到发布的不同进程阶段，标准文本版次依次分为工作组讨论稿、征求意见稿、</w:t>
      </w:r>
      <w:r>
        <w:rPr>
          <w:rFonts w:hint="eastAsia" w:ascii="Times New Roman" w:hAnsi="Times New Roman" w:eastAsia="仿宋" w:cs="Times New Roman"/>
          <w:color w:val="auto"/>
          <w:sz w:val="32"/>
          <w:szCs w:val="40"/>
          <w:lang w:val="en-US" w:eastAsia="zh-CN"/>
        </w:rPr>
        <w:t>送审讨论稿、</w:t>
      </w:r>
      <w:r>
        <w:rPr>
          <w:rFonts w:hint="default" w:ascii="Times New Roman" w:hAnsi="Times New Roman" w:eastAsia="仿宋" w:cs="Times New Roman"/>
          <w:color w:val="auto"/>
          <w:sz w:val="32"/>
          <w:szCs w:val="40"/>
          <w:lang w:val="en-US" w:eastAsia="zh-CN"/>
        </w:rPr>
        <w:t>送审稿和报批稿。</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“前言”：内容可参考相关或相似的国家标准，归口单位统一为西藏自治区林业和草原标准化技术委员会。</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系列标准</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（1）应有“引言”，说明系列标准组成系列的原因，相互之间的关联和区别。</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（2）系列标准中的相同内容，表述应统一。</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（3）系列标准中的内容可以相互引用，但要核定引用的内容是能够引用的，在当前标准中是必要的。</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“1 范围”：应包含第4、5、6……章标题的内容。</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“2 规范性引用文件”：</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（1）无特殊情况应把年份删除；</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（2）其他省（自治区、直辖市）的地方标准不能作为规范性引用文件，可以作为参考文献；</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（3）引用文件必须是正文中规范性引用过的</w:t>
      </w:r>
      <w:r>
        <w:rPr>
          <w:rFonts w:hint="eastAsia" w:ascii="Times New Roman" w:hAnsi="Times New Roman" w:eastAsia="仿宋" w:cs="Times New Roman"/>
          <w:color w:val="auto"/>
          <w:sz w:val="32"/>
          <w:szCs w:val="40"/>
          <w:lang w:val="en-US" w:eastAsia="zh-CN"/>
        </w:rPr>
        <w:t>，不能罗列过多无关的、未引用的</w:t>
      </w:r>
      <w:r>
        <w:rPr>
          <w:rFonts w:hint="default" w:ascii="Times New Roman" w:hAnsi="Times New Roman" w:eastAsia="仿宋" w:cs="Times New Roman"/>
          <w:color w:val="auto"/>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（4）如果确实无引用文件，可以在地方标准编辑软件中选择“无规范性引用文件”的选项；</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（5）规范性引用文件的顺序按照“国际标准-国家标准-行业标准”的顺序，不同行业标准按照拼音顺序排列，同一类别内按照标准编号从小到大排列。</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“3 术语和定义”：</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（1）术语是界定特定领域或专业中使用的概念，应该具有独特性，不易让人产生误解</w:t>
      </w:r>
      <w:r>
        <w:rPr>
          <w:rFonts w:hint="eastAsia" w:ascii="Times New Roman" w:hAnsi="Times New Roman" w:eastAsia="仿宋" w:cs="Times New Roman"/>
          <w:color w:val="auto"/>
          <w:sz w:val="32"/>
          <w:szCs w:val="40"/>
          <w:lang w:val="en-US" w:eastAsia="zh-CN"/>
        </w:rPr>
        <w:t>，应</w:t>
      </w:r>
      <w:r>
        <w:rPr>
          <w:rFonts w:hint="default" w:ascii="Times New Roman" w:hAnsi="Times New Roman" w:eastAsia="仿宋" w:cs="Times New Roman"/>
          <w:color w:val="auto"/>
          <w:sz w:val="32"/>
          <w:szCs w:val="40"/>
          <w:lang w:val="en-US" w:eastAsia="zh-CN"/>
        </w:rPr>
        <w:t>明确定义，应科学、简洁、准确，无需说明操作要求，</w:t>
      </w:r>
      <w:r>
        <w:rPr>
          <w:rFonts w:hint="eastAsia" w:ascii="Times New Roman" w:hAnsi="Times New Roman" w:eastAsia="仿宋" w:cs="Times New Roman"/>
          <w:color w:val="auto"/>
          <w:sz w:val="32"/>
          <w:szCs w:val="40"/>
          <w:lang w:val="en-US" w:eastAsia="zh-CN"/>
        </w:rPr>
        <w:t>应</w:t>
      </w:r>
      <w:r>
        <w:rPr>
          <w:rFonts w:hint="default" w:ascii="Times New Roman" w:hAnsi="Times New Roman" w:eastAsia="仿宋" w:cs="Times New Roman"/>
          <w:color w:val="auto"/>
          <w:sz w:val="32"/>
          <w:szCs w:val="40"/>
          <w:lang w:val="en-US" w:eastAsia="zh-CN"/>
        </w:rPr>
        <w:t>优先采用行业内最权威的标准和规范，可以引用相关标准；</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（2）术语的选择按照GB/T 20000.1术语的要求，数量适宜，不能太多，正文中出现2次以上专业、不易理解的名词，需要在术语和定义里阐明；</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（3）术语直接解释，无需重复“xx是指”“xx是”“xx指”等前缀词；</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（4）可以在术语下另起一行标注来源，完全一致的，直接标注，应标明标号、名称、章条编号等；如果有修改，必须标注“有修改”。例：［来源：GB/T20000.1—2014,5.3，有修改］。</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正文：</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（1）正文中</w:t>
      </w:r>
      <w:r>
        <w:rPr>
          <w:rFonts w:hint="eastAsia" w:ascii="Times New Roman" w:hAnsi="Times New Roman" w:eastAsia="仿宋" w:cs="Times New Roman"/>
          <w:color w:val="auto"/>
          <w:sz w:val="32"/>
          <w:szCs w:val="40"/>
          <w:lang w:val="en-US" w:eastAsia="zh-CN"/>
        </w:rPr>
        <w:t>不出现</w:t>
      </w:r>
      <w:r>
        <w:rPr>
          <w:rFonts w:hint="default" w:ascii="Times New Roman" w:hAnsi="Times New Roman" w:eastAsia="仿宋" w:cs="Times New Roman"/>
          <w:color w:val="auto"/>
          <w:sz w:val="32"/>
          <w:szCs w:val="40"/>
          <w:lang w:val="en-US" w:eastAsia="zh-CN"/>
        </w:rPr>
        <w:t>“本标准”“本规范”等</w:t>
      </w:r>
      <w:r>
        <w:rPr>
          <w:rFonts w:hint="eastAsia" w:ascii="Times New Roman" w:hAnsi="Times New Roman" w:eastAsia="仿宋" w:cs="Times New Roman"/>
          <w:color w:val="auto"/>
          <w:sz w:val="32"/>
          <w:szCs w:val="40"/>
          <w:lang w:val="en-US" w:eastAsia="zh-CN"/>
        </w:rPr>
        <w:t>说法，</w:t>
      </w:r>
      <w:r>
        <w:rPr>
          <w:rFonts w:hint="default" w:ascii="Times New Roman" w:hAnsi="Times New Roman" w:eastAsia="仿宋" w:cs="Times New Roman"/>
          <w:color w:val="auto"/>
          <w:sz w:val="32"/>
          <w:szCs w:val="40"/>
          <w:lang w:val="en-US" w:eastAsia="zh-CN"/>
        </w:rPr>
        <w:t>全部用“本文件”；</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（2）文字叙述中，要么都写主语，要么都不写。</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（3）内容如果为引用，内容不多的可直接抄写。如果内容较多，不宜大篇幅抄写，应列出引用标准的编号等</w:t>
      </w:r>
      <w:r>
        <w:rPr>
          <w:rFonts w:hint="eastAsia" w:ascii="Times New Roman" w:hAnsi="Times New Roman" w:eastAsia="仿宋" w:cs="Times New Roman"/>
          <w:color w:val="auto"/>
          <w:sz w:val="32"/>
          <w:szCs w:val="40"/>
          <w:lang w:val="en-US" w:eastAsia="zh-CN"/>
        </w:rPr>
        <w:t>（列出具体到章节的，应在规范性引用文件中列出其年份号）。</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（4）注意准确使用“应”“宜”“可”等词。不应出现“考虑到”“我们认为”“建议”等</w:t>
      </w:r>
      <w:r>
        <w:rPr>
          <w:rFonts w:hint="eastAsia" w:ascii="Times New Roman" w:hAnsi="Times New Roman" w:eastAsia="仿宋" w:cs="Times New Roman"/>
          <w:color w:val="auto"/>
          <w:sz w:val="32"/>
          <w:szCs w:val="40"/>
          <w:lang w:val="en-US" w:eastAsia="zh-CN"/>
        </w:rPr>
        <w:t>主观性、模糊性词汇</w:t>
      </w:r>
      <w:r>
        <w:rPr>
          <w:rFonts w:hint="default" w:ascii="Times New Roman" w:hAnsi="Times New Roman" w:eastAsia="仿宋" w:cs="Times New Roman"/>
          <w:color w:val="auto"/>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（5）出现“特殊条件”“特定要求”时，应写明具体的条件和要求。</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（6）“参照XXX执行”的说法只能用于</w:t>
      </w:r>
      <w:r>
        <w:rPr>
          <w:rFonts w:hint="eastAsia" w:ascii="Times New Roman" w:hAnsi="Times New Roman" w:eastAsia="仿宋" w:cs="Times New Roman"/>
          <w:color w:val="auto"/>
          <w:sz w:val="32"/>
          <w:szCs w:val="40"/>
          <w:lang w:val="en-US" w:eastAsia="zh-CN"/>
        </w:rPr>
        <w:t>资料</w:t>
      </w:r>
      <w:r>
        <w:rPr>
          <w:rFonts w:hint="default" w:ascii="Times New Roman" w:hAnsi="Times New Roman" w:eastAsia="仿宋" w:cs="Times New Roman"/>
          <w:color w:val="auto"/>
          <w:sz w:val="32"/>
          <w:szCs w:val="40"/>
          <w:lang w:val="en-US" w:eastAsia="zh-CN"/>
        </w:rPr>
        <w:t>性材料，不能用于</w:t>
      </w:r>
      <w:r>
        <w:rPr>
          <w:rFonts w:hint="eastAsia" w:ascii="Times New Roman" w:hAnsi="Times New Roman" w:eastAsia="仿宋" w:cs="Times New Roman"/>
          <w:color w:val="auto"/>
          <w:sz w:val="32"/>
          <w:szCs w:val="40"/>
          <w:lang w:val="en-US" w:eastAsia="zh-CN"/>
        </w:rPr>
        <w:t>规范</w:t>
      </w:r>
      <w:r>
        <w:rPr>
          <w:rFonts w:hint="default" w:ascii="Times New Roman" w:hAnsi="Times New Roman" w:eastAsia="仿宋" w:cs="Times New Roman"/>
          <w:color w:val="auto"/>
          <w:sz w:val="32"/>
          <w:szCs w:val="40"/>
          <w:lang w:val="en-US" w:eastAsia="zh-CN"/>
        </w:rPr>
        <w:t>性材料。</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7）为了不在引用时产生混淆,不宜在章标题与条之间或条标题与下一层次条之间设段(称为“悬置段”)，分段要有编号。每个小标题下只有一句话的，无需分级编号，可用数字字母编号，如1）、2）、3）或a）、b）、c）。</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（8）数字和单位间要空一格，单位尽量用字母。</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（9）公示、字母、正体、斜体等应规范，应参照国际单位制的规范格式；公示中的角标和字母都要有注释说明。</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（10）术语或单位的中英文应该统一，要么一律用中文，要么一律用字母；如果同时出现中文和英文（或字母），则中文在前。</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（11）正文的最后需要有截止符，为居中横线，长度约为页面宽度的一半。</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技术</w:t>
      </w:r>
      <w:r>
        <w:rPr>
          <w:rFonts w:hint="eastAsia" w:ascii="Times New Roman" w:hAnsi="Times New Roman" w:eastAsia="仿宋" w:cs="Times New Roman"/>
          <w:color w:val="auto"/>
          <w:sz w:val="32"/>
          <w:szCs w:val="40"/>
          <w:lang w:val="en-US" w:eastAsia="zh-CN"/>
        </w:rPr>
        <w:t>操作类规程的技术措施</w:t>
      </w:r>
      <w:r>
        <w:rPr>
          <w:rFonts w:hint="default" w:ascii="Times New Roman" w:hAnsi="Times New Roman" w:eastAsia="仿宋" w:cs="Times New Roman"/>
          <w:color w:val="auto"/>
          <w:sz w:val="32"/>
          <w:szCs w:val="40"/>
          <w:lang w:val="en-US" w:eastAsia="zh-CN"/>
        </w:rPr>
        <w:t>应详细、具体、无歧义、可操作，应达到能够指导技术实操的深度</w:t>
      </w:r>
      <w:r>
        <w:rPr>
          <w:rFonts w:hint="eastAsia" w:ascii="Times New Roman" w:hAnsi="Times New Roman" w:eastAsia="仿宋" w:cs="Times New Roman"/>
          <w:color w:val="auto"/>
          <w:sz w:val="32"/>
          <w:szCs w:val="40"/>
          <w:lang w:val="en-US" w:eastAsia="zh-CN"/>
        </w:rPr>
        <w:t>。技术内容中涉及指标的，应给出明确范围，有指导性；同时避免只给定唯一值，范围过于局限。</w:t>
      </w:r>
    </w:p>
    <w:p>
      <w:pPr>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附录的内容应在文中提及，否则不需要。附录的表一般要有表头。</w:t>
      </w:r>
    </w:p>
    <w:p>
      <w:pPr>
        <w:keepNext w:val="0"/>
        <w:keepLines w:val="0"/>
        <w:pageBreakBefore w:val="0"/>
        <w:widowControl w:val="0"/>
        <w:kinsoku/>
        <w:wordWrap/>
        <w:overflowPunct/>
        <w:topLinePunct w:val="0"/>
        <w:autoSpaceDE/>
        <w:autoSpaceDN/>
        <w:bidi w:val="0"/>
        <w:adjustRightInd/>
        <w:textAlignment w:val="auto"/>
        <w:rPr>
          <w:color w:val="auto"/>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二、《编制说明》编制注意事项</w:t>
      </w:r>
    </w:p>
    <w:p>
      <w:pPr>
        <w:keepNext w:val="0"/>
        <w:keepLines w:val="0"/>
        <w:pageBreakBefore w:val="0"/>
        <w:widowControl w:val="0"/>
        <w:numPr>
          <w:ilvl w:val="0"/>
          <w:numId w:val="3"/>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32"/>
          <w:szCs w:val="40"/>
          <w:lang w:val="en-US" w:eastAsia="zh-CN"/>
        </w:rPr>
      </w:pPr>
      <w:bookmarkStart w:id="16" w:name="OLE_LINK5"/>
      <w:r>
        <w:rPr>
          <w:rFonts w:hint="default" w:ascii="Times New Roman" w:hAnsi="Times New Roman" w:eastAsia="仿宋" w:cs="Times New Roman"/>
          <w:color w:val="auto"/>
          <w:sz w:val="32"/>
          <w:szCs w:val="40"/>
          <w:lang w:val="en-US" w:eastAsia="zh-CN"/>
        </w:rPr>
        <w:t>《编制说明》</w:t>
      </w:r>
      <w:bookmarkEnd w:id="16"/>
      <w:r>
        <w:rPr>
          <w:rFonts w:hint="default" w:ascii="Times New Roman" w:hAnsi="Times New Roman" w:eastAsia="仿宋" w:cs="Times New Roman"/>
          <w:color w:val="auto"/>
          <w:sz w:val="32"/>
          <w:szCs w:val="40"/>
          <w:lang w:val="en-US" w:eastAsia="zh-CN"/>
        </w:rPr>
        <w:t>是记录标准编制过程中的重要文件，是标准文本的解释、说明、补充和延伸，涉及本地方标准但标准文本未直接体现的内容均可在《编制说明》中阐述，是帮助标准管理部门、标准审查机构及各相关方充分理解标准主体内容的辅助文件，是该地方标准在立项论证、技术审查阶段重要的佐证材料，标准起草单位及编制人员应予重视。</w:t>
      </w:r>
    </w:p>
    <w:p>
      <w:pPr>
        <w:keepNext w:val="0"/>
        <w:keepLines w:val="0"/>
        <w:pageBreakBefore w:val="0"/>
        <w:widowControl w:val="0"/>
        <w:numPr>
          <w:ilvl w:val="0"/>
          <w:numId w:val="3"/>
        </w:numPr>
        <w:kinsoku/>
        <w:wordWrap/>
        <w:overflowPunct/>
        <w:topLinePunct w:val="0"/>
        <w:autoSpaceDE/>
        <w:autoSpaceDN/>
        <w:bidi w:val="0"/>
        <w:adjustRightInd/>
        <w:snapToGrid w:val="0"/>
        <w:spacing w:line="570" w:lineRule="exact"/>
        <w:ind w:left="425" w:leftChars="0" w:hanging="425" w:firstLineChars="0"/>
        <w:textAlignment w:val="auto"/>
        <w:rPr>
          <w:rFonts w:hint="default" w:ascii="Times New Roman" w:hAnsi="Times New Roman" w:eastAsia="仿宋" w:cs="Times New Roman"/>
          <w:color w:val="auto"/>
          <w:sz w:val="32"/>
          <w:szCs w:val="40"/>
          <w:lang w:val="en-US" w:eastAsia="zh-CN"/>
        </w:rPr>
      </w:pPr>
      <w:r>
        <w:rPr>
          <w:rFonts w:hint="default" w:ascii="Times New Roman" w:hAnsi="Times New Roman" w:eastAsia="仿宋" w:cs="Times New Roman"/>
          <w:color w:val="auto"/>
          <w:sz w:val="32"/>
          <w:szCs w:val="40"/>
          <w:lang w:val="en-US" w:eastAsia="zh-CN"/>
        </w:rPr>
        <w:t>在形成标准的征求意见稿时就应编写编制说明，以后标准</w:t>
      </w:r>
      <w:r>
        <w:rPr>
          <w:rFonts w:hint="eastAsia" w:ascii="Times New Roman" w:hAnsi="Times New Roman" w:eastAsia="仿宋" w:cs="Times New Roman"/>
          <w:color w:val="auto"/>
          <w:sz w:val="32"/>
          <w:szCs w:val="40"/>
          <w:lang w:val="en-US" w:eastAsia="zh-CN"/>
        </w:rPr>
        <w:t>送审讨论稿、</w:t>
      </w:r>
      <w:r>
        <w:rPr>
          <w:rFonts w:hint="default" w:ascii="Times New Roman" w:hAnsi="Times New Roman" w:eastAsia="仿宋" w:cs="Times New Roman"/>
          <w:color w:val="auto"/>
          <w:sz w:val="32"/>
          <w:szCs w:val="40"/>
          <w:lang w:val="en-US" w:eastAsia="zh-CN"/>
        </w:rPr>
        <w:t>送审稿、报批稿对应的编制说明应根据工作推进情况适时补充并新增内容。</w:t>
      </w:r>
    </w:p>
    <w:p>
      <w:pPr>
        <w:keepNext w:val="0"/>
        <w:keepLines w:val="0"/>
        <w:pageBreakBefore w:val="0"/>
        <w:widowControl w:val="0"/>
        <w:numPr>
          <w:ilvl w:val="0"/>
          <w:numId w:val="3"/>
        </w:numPr>
        <w:kinsoku/>
        <w:wordWrap/>
        <w:overflowPunct/>
        <w:topLinePunct w:val="0"/>
        <w:autoSpaceDE/>
        <w:autoSpaceDN/>
        <w:bidi w:val="0"/>
        <w:adjustRightInd/>
        <w:ind w:left="425" w:leftChars="0" w:hanging="425" w:firstLineChars="0"/>
        <w:textAlignment w:val="auto"/>
        <w:rPr>
          <w:rFonts w:hint="default" w:ascii="Times New Roman" w:hAnsi="Times New Roman" w:eastAsia="仿宋" w:cs="Times New Roman"/>
          <w:color w:val="auto"/>
          <w:sz w:val="32"/>
          <w:szCs w:val="40"/>
          <w:lang w:val="en-US" w:eastAsia="zh-CN"/>
        </w:rPr>
      </w:pPr>
      <w:bookmarkStart w:id="17" w:name="OLE_LINK13"/>
      <w:r>
        <w:rPr>
          <w:rFonts w:hint="default" w:ascii="Times New Roman" w:hAnsi="Times New Roman" w:eastAsia="仿宋" w:cs="Times New Roman"/>
          <w:color w:val="auto"/>
          <w:sz w:val="32"/>
          <w:szCs w:val="40"/>
          <w:lang w:val="en-US" w:eastAsia="zh-CN"/>
        </w:rPr>
        <w:t>《编制说明》的主要内容包括但不限于以下内容要素，各要素内容应叙述完整、详实和准确，相关要求见括号内说明：</w:t>
      </w:r>
      <w:bookmarkEnd w:id="17"/>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4"/>
          <w:szCs w:val="22"/>
          <w:lang w:val="en-US" w:eastAsia="zh-CN"/>
        </w:rPr>
      </w:pPr>
      <w:r>
        <w:rPr>
          <w:rFonts w:hint="eastAsia"/>
          <w:color w:val="auto"/>
          <w:sz w:val="28"/>
          <w:szCs w:val="24"/>
          <w:lang w:val="en-US" w:eastAsia="zh-CN"/>
        </w:rPr>
        <w:t>封面</w:t>
      </w:r>
      <w:r>
        <w:rPr>
          <w:rFonts w:hint="eastAsia" w:ascii="楷体" w:hAnsi="楷体" w:eastAsia="楷体" w:cs="楷体"/>
          <w:color w:val="auto"/>
          <w:kern w:val="2"/>
          <w:sz w:val="32"/>
          <w:szCs w:val="40"/>
          <w:lang w:val="en-US" w:eastAsia="zh-CN" w:bidi="ar-SA"/>
        </w:rPr>
        <w:t>（包含标准名称、标准性质、项目承担单位等）</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default"/>
          <w:color w:val="auto"/>
          <w:sz w:val="24"/>
          <w:szCs w:val="22"/>
          <w:lang w:val="en-US" w:eastAsia="zh-CN"/>
        </w:rPr>
      </w:pPr>
      <w:r>
        <w:rPr>
          <w:rFonts w:hint="eastAsia"/>
          <w:color w:val="auto"/>
          <w:sz w:val="28"/>
          <w:szCs w:val="24"/>
          <w:lang w:val="en-US" w:eastAsia="zh-CN"/>
        </w:rPr>
        <w:t>目录</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4"/>
          <w:szCs w:val="22"/>
          <w:lang w:val="en-US" w:eastAsia="zh-CN"/>
        </w:rPr>
      </w:pPr>
      <w:r>
        <w:rPr>
          <w:rFonts w:hint="eastAsia"/>
          <w:color w:val="auto"/>
          <w:sz w:val="28"/>
          <w:szCs w:val="24"/>
          <w:lang w:val="en-US" w:eastAsia="zh-CN"/>
        </w:rPr>
        <w:t>一、概况</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4"/>
          <w:szCs w:val="22"/>
          <w:lang w:val="en-US" w:eastAsia="zh-CN"/>
        </w:rPr>
      </w:pPr>
      <w:r>
        <w:rPr>
          <w:rFonts w:hint="eastAsia"/>
          <w:color w:val="auto"/>
          <w:sz w:val="28"/>
          <w:szCs w:val="24"/>
          <w:lang w:val="en-US" w:eastAsia="zh-CN"/>
        </w:rPr>
        <w:t>（一）任务来源</w:t>
      </w:r>
      <w:r>
        <w:rPr>
          <w:rFonts w:hint="eastAsia" w:ascii="楷体" w:hAnsi="楷体" w:eastAsia="楷体" w:cs="楷体"/>
          <w:color w:val="auto"/>
          <w:kern w:val="2"/>
          <w:sz w:val="32"/>
          <w:szCs w:val="40"/>
          <w:lang w:val="en-US" w:eastAsia="zh-CN" w:bidi="ar-SA"/>
        </w:rPr>
        <w:t>（下达标准制定任务的标准化行政管理部门的立项通知，应准确引用主管部门或主管部门授权机构下达的文件及文号、项目名称与任务要求，包括主要起草单位、参加单位、项目周期等信息，确保任务信息可以追溯）</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4"/>
          <w:szCs w:val="22"/>
          <w:lang w:val="en-US" w:eastAsia="zh-CN"/>
        </w:rPr>
      </w:pPr>
      <w:r>
        <w:rPr>
          <w:rFonts w:hint="eastAsia"/>
          <w:color w:val="auto"/>
          <w:sz w:val="28"/>
          <w:szCs w:val="24"/>
          <w:lang w:val="en-US" w:eastAsia="zh-CN"/>
        </w:rPr>
        <w:t>（二）标准名称</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4"/>
          <w:szCs w:val="22"/>
          <w:lang w:val="en-US" w:eastAsia="zh-CN"/>
        </w:rPr>
      </w:pPr>
      <w:r>
        <w:rPr>
          <w:rFonts w:hint="eastAsia"/>
          <w:color w:val="auto"/>
          <w:sz w:val="28"/>
          <w:szCs w:val="24"/>
          <w:lang w:val="en-US" w:eastAsia="zh-CN"/>
        </w:rPr>
        <w:t>（三）标准性质</w:t>
      </w:r>
      <w:r>
        <w:rPr>
          <w:rFonts w:hint="eastAsia" w:ascii="楷体" w:hAnsi="楷体" w:eastAsia="楷体" w:cs="楷体"/>
          <w:color w:val="auto"/>
          <w:kern w:val="2"/>
          <w:sz w:val="32"/>
          <w:szCs w:val="40"/>
          <w:lang w:val="en-US" w:eastAsia="zh-CN" w:bidi="ar-SA"/>
        </w:rPr>
        <w:t>（制定/修订，我区地方标准均为推荐行标准）</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4"/>
          <w:szCs w:val="22"/>
          <w:lang w:val="en-US" w:eastAsia="zh-CN"/>
        </w:rPr>
      </w:pPr>
      <w:r>
        <w:rPr>
          <w:rFonts w:hint="eastAsia"/>
          <w:color w:val="auto"/>
          <w:sz w:val="28"/>
          <w:szCs w:val="24"/>
          <w:lang w:val="en-US" w:eastAsia="zh-CN"/>
        </w:rPr>
        <w:t>（四）</w:t>
      </w:r>
      <w:bookmarkStart w:id="18" w:name="OLE_LINK8"/>
      <w:r>
        <w:rPr>
          <w:rFonts w:hint="eastAsia"/>
          <w:color w:val="auto"/>
          <w:sz w:val="28"/>
          <w:szCs w:val="24"/>
          <w:lang w:val="en-US" w:eastAsia="zh-CN"/>
        </w:rPr>
        <w:t>编制单位及编制团队</w:t>
      </w:r>
      <w:bookmarkEnd w:id="18"/>
      <w:r>
        <w:rPr>
          <w:rFonts w:hint="eastAsia" w:ascii="楷体" w:hAnsi="楷体" w:eastAsia="楷体" w:cs="楷体"/>
          <w:color w:val="auto"/>
          <w:kern w:val="2"/>
          <w:sz w:val="32"/>
          <w:szCs w:val="40"/>
          <w:lang w:val="en-US" w:eastAsia="zh-CN" w:bidi="ar-SA"/>
        </w:rPr>
        <w:t>（充分说明编制单位及编制团队具有技术实力完成标准编制）</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default"/>
          <w:color w:val="auto"/>
          <w:sz w:val="24"/>
          <w:szCs w:val="22"/>
          <w:lang w:val="en-US" w:eastAsia="zh-CN"/>
        </w:rPr>
      </w:pPr>
      <w:r>
        <w:rPr>
          <w:rFonts w:hint="eastAsia"/>
          <w:color w:val="auto"/>
          <w:sz w:val="28"/>
          <w:szCs w:val="24"/>
          <w:lang w:val="en-US" w:eastAsia="zh-CN"/>
        </w:rPr>
        <w:t>二、背景意义及必要性分析</w:t>
      </w:r>
      <w:r>
        <w:rPr>
          <w:rFonts w:hint="eastAsia" w:ascii="楷体" w:hAnsi="楷体" w:eastAsia="楷体" w:cs="楷体"/>
          <w:color w:val="auto"/>
          <w:kern w:val="2"/>
          <w:sz w:val="32"/>
          <w:szCs w:val="40"/>
          <w:lang w:val="en-US" w:eastAsia="zh-CN" w:bidi="ar-SA"/>
        </w:rPr>
        <w:t>（修订标准时，同时应注明与原标准的不同之处，增加或删除的具体条款序号及内容，并注明修订的原因）</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ascii="楷体" w:hAnsi="楷体" w:eastAsia="楷体" w:cs="楷体"/>
          <w:color w:val="auto"/>
          <w:kern w:val="2"/>
          <w:sz w:val="32"/>
          <w:szCs w:val="40"/>
          <w:lang w:val="en-US" w:eastAsia="zh-CN" w:bidi="ar-SA"/>
        </w:rPr>
      </w:pPr>
      <w:r>
        <w:rPr>
          <w:rFonts w:hint="eastAsia"/>
          <w:color w:val="auto"/>
          <w:sz w:val="28"/>
          <w:szCs w:val="24"/>
          <w:lang w:val="en-US" w:eastAsia="zh-CN"/>
        </w:rPr>
        <w:t>三、工作情况</w:t>
      </w:r>
      <w:r>
        <w:rPr>
          <w:rFonts w:hint="eastAsia" w:ascii="楷体" w:hAnsi="楷体" w:eastAsia="楷体" w:cs="楷体"/>
          <w:color w:val="auto"/>
          <w:kern w:val="2"/>
          <w:sz w:val="32"/>
          <w:szCs w:val="40"/>
          <w:lang w:val="en-US" w:eastAsia="zh-CN" w:bidi="ar-SA"/>
        </w:rPr>
        <w:t>（为了制定地方标准而开展的工作，应叙述清楚标准的编制过程，通常分为初稿编制阶段、意见征求阶段、标准审查阶段、标准报批阶段等四个阶段）</w:t>
      </w:r>
    </w:p>
    <w:p>
      <w:pPr>
        <w:pStyle w:val="9"/>
        <w:spacing w:line="360" w:lineRule="auto"/>
        <w:rPr>
          <w:rFonts w:hint="default"/>
          <w:color w:val="auto"/>
          <w:sz w:val="18"/>
          <w:szCs w:val="16"/>
          <w:lang w:val="en-US" w:eastAsia="zh-CN"/>
        </w:rPr>
      </w:pPr>
      <w:r>
        <w:rPr>
          <w:rFonts w:hint="eastAsia" w:ascii="楷体" w:hAnsi="楷体" w:eastAsia="楷体" w:cs="楷体"/>
          <w:color w:val="auto"/>
          <w:kern w:val="2"/>
          <w:sz w:val="24"/>
          <w:szCs w:val="32"/>
          <w:lang w:val="en-US" w:eastAsia="zh-CN" w:bidi="ar-SA"/>
        </w:rPr>
        <w:t>（征求意见阶段，建议把挂网的截图附上。以后标准《地方标准管理办法》第十三条　起草单位应当征求有关行政主管部门以及企业事业组织、社会团体、消费者组织和教育、科研机构等方面意见，并在设区的市级以上地方标准化行政主管部门门户网站向社会公开征求意见。公开征求意见的期限不少于三十日。）</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4"/>
          <w:szCs w:val="22"/>
          <w:lang w:val="en-US" w:eastAsia="zh-CN"/>
        </w:rPr>
      </w:pPr>
      <w:r>
        <w:rPr>
          <w:rFonts w:hint="eastAsia"/>
          <w:color w:val="auto"/>
          <w:sz w:val="28"/>
          <w:szCs w:val="24"/>
          <w:lang w:val="en-US" w:eastAsia="zh-CN"/>
        </w:rPr>
        <w:t>四、研究基础及可行性分析</w:t>
      </w:r>
      <w:r>
        <w:rPr>
          <w:rFonts w:hint="eastAsia" w:ascii="楷体" w:hAnsi="楷体" w:eastAsia="楷体" w:cs="楷体"/>
          <w:color w:val="auto"/>
          <w:kern w:val="2"/>
          <w:sz w:val="32"/>
          <w:szCs w:val="40"/>
          <w:lang w:val="en-US" w:eastAsia="zh-CN" w:bidi="ar-SA"/>
        </w:rPr>
        <w:t>（目前已取得的成果、成效等，最好包含案例和数据；技术类的最好包含设计方案、试验过程及研究结论等内容；可附照片、证书、证明、表彰等其他佐证材料）</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default"/>
          <w:color w:val="auto"/>
          <w:sz w:val="24"/>
          <w:szCs w:val="22"/>
          <w:lang w:val="en-US" w:eastAsia="zh-CN"/>
        </w:rPr>
      </w:pPr>
      <w:r>
        <w:rPr>
          <w:rFonts w:hint="eastAsia"/>
          <w:color w:val="auto"/>
          <w:sz w:val="28"/>
          <w:szCs w:val="24"/>
          <w:lang w:val="en-US" w:eastAsia="zh-CN"/>
        </w:rPr>
        <w:t>五、标准的主要内容及依据</w:t>
      </w:r>
      <w:r>
        <w:rPr>
          <w:rFonts w:hint="eastAsia" w:ascii="楷体" w:hAnsi="楷体" w:eastAsia="楷体" w:cs="楷体"/>
          <w:color w:val="auto"/>
          <w:kern w:val="2"/>
          <w:sz w:val="32"/>
          <w:szCs w:val="40"/>
          <w:lang w:val="en-US" w:eastAsia="zh-CN" w:bidi="ar-SA"/>
        </w:rPr>
        <w:t>（说明标准的编制思路及主要内容，是标准编制说明的核心组成部分，可综合运用文字分析、图形示意、统计图表等，不能把标准文本直接抄过来，应精简、提炼。依据可包括理论或法规依据、统计分析依据、工作实践依据等，应当完整、充分，不应当笼统的使用“经验证明有效”、“实践检验合理”等模糊表述）</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default"/>
          <w:color w:val="auto"/>
          <w:sz w:val="24"/>
          <w:szCs w:val="22"/>
          <w:lang w:val="en-US" w:eastAsia="zh-CN"/>
        </w:rPr>
      </w:pPr>
      <w:r>
        <w:rPr>
          <w:rFonts w:hint="eastAsia"/>
          <w:color w:val="auto"/>
          <w:sz w:val="28"/>
          <w:szCs w:val="24"/>
          <w:lang w:val="en-US" w:eastAsia="zh-CN"/>
        </w:rPr>
        <w:t>六、标准的编制原则</w:t>
      </w:r>
      <w:r>
        <w:rPr>
          <w:rFonts w:hint="eastAsia" w:ascii="楷体" w:hAnsi="楷体" w:eastAsia="楷体" w:cs="楷体"/>
          <w:color w:val="auto"/>
          <w:kern w:val="2"/>
          <w:sz w:val="32"/>
          <w:szCs w:val="40"/>
          <w:lang w:val="en-US" w:eastAsia="zh-CN" w:bidi="ar-SA"/>
        </w:rPr>
        <w:t>（标准应格式统一、规范，应满足一致性原则、协调性原则和易用性的原则，其内容应成熟稳定、经济适用、科学先进）</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4"/>
          <w:szCs w:val="22"/>
          <w:lang w:val="en-US" w:eastAsia="zh-CN"/>
        </w:rPr>
      </w:pPr>
      <w:r>
        <w:rPr>
          <w:rFonts w:hint="eastAsia"/>
          <w:color w:val="auto"/>
          <w:sz w:val="28"/>
          <w:szCs w:val="24"/>
          <w:lang w:val="en-US" w:eastAsia="zh-CN"/>
        </w:rPr>
        <w:t>七、采用国际标准和国外先进标准的程度</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4"/>
          <w:szCs w:val="22"/>
          <w:lang w:val="en-US" w:eastAsia="zh-CN"/>
        </w:rPr>
      </w:pPr>
      <w:r>
        <w:rPr>
          <w:rFonts w:hint="eastAsia"/>
          <w:color w:val="auto"/>
          <w:sz w:val="28"/>
          <w:szCs w:val="24"/>
          <w:lang w:val="en-US" w:eastAsia="zh-CN"/>
        </w:rPr>
        <w:t>八、与有关的现行法律法规和标准的关系</w:t>
      </w:r>
      <w:r>
        <w:rPr>
          <w:rFonts w:hint="eastAsia" w:ascii="楷体" w:hAnsi="楷体" w:eastAsia="楷体" w:cs="楷体"/>
          <w:color w:val="auto"/>
          <w:kern w:val="2"/>
          <w:sz w:val="32"/>
          <w:szCs w:val="40"/>
          <w:lang w:val="en-US" w:eastAsia="zh-CN" w:bidi="ar-SA"/>
        </w:rPr>
        <w:t>（即独特性及合规性分析，很重要，重点分析与现有强制性/推荐性国家标准、行业标准的差异点和协调性，并分析符合现行法律法规、无地方保护、限制市场竞争的情况，标准应与现行相关的法律法规和标准不矛盾、无冲突、相协调）</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default"/>
          <w:color w:val="auto"/>
          <w:sz w:val="24"/>
          <w:szCs w:val="22"/>
          <w:lang w:val="en-US" w:eastAsia="zh-CN"/>
        </w:rPr>
      </w:pPr>
      <w:r>
        <w:rPr>
          <w:rFonts w:hint="eastAsia"/>
          <w:color w:val="auto"/>
          <w:sz w:val="28"/>
          <w:szCs w:val="24"/>
          <w:lang w:val="en-US" w:eastAsia="zh-CN"/>
        </w:rPr>
        <w:t>九、重大分歧意见的处理和依据</w:t>
      </w:r>
      <w:r>
        <w:rPr>
          <w:rFonts w:hint="eastAsia" w:ascii="楷体" w:hAnsi="楷体" w:eastAsia="楷体" w:cs="楷体"/>
          <w:color w:val="auto"/>
          <w:kern w:val="2"/>
          <w:sz w:val="32"/>
          <w:szCs w:val="40"/>
          <w:lang w:val="en-US" w:eastAsia="zh-CN" w:bidi="ar-SA"/>
        </w:rPr>
        <w:t>（含标准涉及的各方征求意见情况及重大分歧的处理方式等，标准征求意见稿发放范围、数量及其代表性情况，意见汇总及分析处理情况，应说明各单位反馈的意见情况（数量），以及对意见的处理情况和对于未采纳意见的原因说明。在标准进入报批阶段时，不应再存在重大分歧意见）</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8"/>
          <w:szCs w:val="24"/>
          <w:lang w:val="en-US" w:eastAsia="zh-CN"/>
        </w:rPr>
      </w:pPr>
      <w:r>
        <w:rPr>
          <w:rFonts w:hint="eastAsia"/>
          <w:color w:val="auto"/>
          <w:sz w:val="28"/>
          <w:szCs w:val="24"/>
          <w:lang w:val="en-US" w:eastAsia="zh-CN"/>
        </w:rPr>
        <w:t>十、推广应用前景</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8"/>
          <w:szCs w:val="24"/>
          <w:lang w:val="en-US" w:eastAsia="zh-CN"/>
        </w:rPr>
      </w:pPr>
      <w:r>
        <w:rPr>
          <w:rFonts w:hint="eastAsia"/>
          <w:color w:val="auto"/>
          <w:sz w:val="28"/>
          <w:szCs w:val="24"/>
          <w:lang w:val="en-US" w:eastAsia="zh-CN"/>
        </w:rPr>
        <w:t>十一、贯彻地方标准的要求和措施建议</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ascii="楷体" w:hAnsi="楷体" w:eastAsia="楷体" w:cs="楷体"/>
          <w:color w:val="auto"/>
          <w:kern w:val="2"/>
          <w:sz w:val="32"/>
          <w:szCs w:val="40"/>
          <w:lang w:val="en-US" w:eastAsia="zh-CN" w:bidi="ar-SA"/>
        </w:rPr>
      </w:pPr>
      <w:r>
        <w:rPr>
          <w:rFonts w:hint="eastAsia"/>
          <w:color w:val="auto"/>
          <w:sz w:val="28"/>
          <w:szCs w:val="24"/>
          <w:lang w:val="en-US" w:eastAsia="zh-CN"/>
        </w:rPr>
        <w:t>十二、废止现行有关标准的建议</w:t>
      </w:r>
      <w:r>
        <w:rPr>
          <w:rFonts w:hint="eastAsia" w:ascii="楷体" w:hAnsi="楷体" w:eastAsia="楷体" w:cs="楷体"/>
          <w:color w:val="auto"/>
          <w:kern w:val="2"/>
          <w:sz w:val="32"/>
          <w:szCs w:val="40"/>
          <w:lang w:val="en-US" w:eastAsia="zh-CN" w:bidi="ar-SA"/>
        </w:rPr>
        <w:t>（首次发布的标准，此项下可填写“无”）</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ascii="楷体" w:hAnsi="楷体" w:eastAsia="楷体" w:cs="楷体"/>
          <w:color w:val="auto"/>
          <w:kern w:val="2"/>
          <w:sz w:val="32"/>
          <w:szCs w:val="40"/>
          <w:lang w:val="en-US" w:eastAsia="zh-CN" w:bidi="ar-SA"/>
        </w:rPr>
      </w:pPr>
      <w:r>
        <w:rPr>
          <w:rFonts w:hint="eastAsia"/>
          <w:color w:val="auto"/>
          <w:sz w:val="28"/>
          <w:szCs w:val="24"/>
          <w:lang w:val="en-US" w:eastAsia="zh-CN"/>
        </w:rPr>
        <w:t>十三、其他说明</w:t>
      </w:r>
      <w:r>
        <w:rPr>
          <w:rFonts w:hint="eastAsia" w:ascii="楷体" w:hAnsi="楷体" w:eastAsia="楷体" w:cs="楷体"/>
          <w:color w:val="auto"/>
          <w:kern w:val="2"/>
          <w:sz w:val="32"/>
          <w:szCs w:val="40"/>
          <w:lang w:val="en-US" w:eastAsia="zh-CN" w:bidi="ar-SA"/>
        </w:rPr>
        <w:t>（其他有必要提供的材料或说明、专利方面的说明）</w:t>
      </w:r>
    </w:p>
    <w:p>
      <w:pPr>
        <w:pStyle w:val="8"/>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630" w:leftChars="300"/>
        <w:textAlignment w:val="auto"/>
        <w:rPr>
          <w:rFonts w:hint="eastAsia"/>
          <w:color w:val="auto"/>
          <w:sz w:val="24"/>
          <w:szCs w:val="22"/>
          <w:lang w:val="en-US" w:eastAsia="zh-CN"/>
        </w:rPr>
      </w:pPr>
      <w:r>
        <w:rPr>
          <w:rFonts w:hint="eastAsia"/>
          <w:color w:val="auto"/>
          <w:sz w:val="28"/>
          <w:szCs w:val="24"/>
          <w:lang w:val="en-US" w:eastAsia="zh-CN"/>
        </w:rPr>
        <w:t>附件</w:t>
      </w:r>
      <w:r>
        <w:rPr>
          <w:rFonts w:hint="eastAsia" w:ascii="楷体" w:hAnsi="楷体" w:eastAsia="楷体" w:cs="楷体"/>
          <w:color w:val="auto"/>
          <w:kern w:val="2"/>
          <w:sz w:val="32"/>
          <w:szCs w:val="40"/>
          <w:lang w:val="en-US" w:eastAsia="zh-CN" w:bidi="ar-SA"/>
        </w:rPr>
        <w:t>（如征求意见汇总处理表、专家意见汇总处理表等）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三、其他注意事项</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40" w:firstLineChars="200"/>
        <w:textAlignment w:val="auto"/>
        <w:rPr>
          <w:rFonts w:hint="default"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标准文本与编制说明相关内容要对应，编制说明中的内容可作为标准文本的依据和支持，不应存在矛盾。编制说明中的试验及结论在标准文本里应有所体现。</w:t>
      </w:r>
    </w:p>
    <w:sectPr>
      <w:footerReference r:id="rId3" w:type="default"/>
      <w:pgSz w:w="11906" w:h="16838"/>
      <w:pgMar w:top="1440" w:right="1633" w:bottom="144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44"/>
                              <w:lang w:eastAsia="zh-CN"/>
                            </w:rPr>
                          </w:pPr>
                          <w:r>
                            <w:rPr>
                              <w:rFonts w:hint="eastAsia"/>
                              <w:sz w:val="28"/>
                              <w:szCs w:val="44"/>
                              <w:lang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sz w:val="28"/>
                        <w:szCs w:val="44"/>
                        <w:lang w:eastAsia="zh-CN"/>
                      </w:rPr>
                    </w:pPr>
                    <w:r>
                      <w:rPr>
                        <w:rFonts w:hint="eastAsia"/>
                        <w:sz w:val="28"/>
                        <w:szCs w:val="44"/>
                        <w:lang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B8F37"/>
    <w:multiLevelType w:val="singleLevel"/>
    <w:tmpl w:val="1F1B8F37"/>
    <w:lvl w:ilvl="0" w:tentative="0">
      <w:start w:val="1"/>
      <w:numFmt w:val="decimal"/>
      <w:lvlText w:val="%1."/>
      <w:lvlJc w:val="left"/>
      <w:pPr>
        <w:ind w:left="425" w:hanging="425"/>
      </w:pPr>
      <w:rPr>
        <w:rFonts w:hint="default"/>
      </w:rPr>
    </w:lvl>
  </w:abstractNum>
  <w:abstractNum w:abstractNumId="1">
    <w:nsid w:val="58BFB464"/>
    <w:multiLevelType w:val="singleLevel"/>
    <w:tmpl w:val="58BFB464"/>
    <w:lvl w:ilvl="0" w:tentative="0">
      <w:start w:val="1"/>
      <w:numFmt w:val="decimal"/>
      <w:lvlText w:val="%1."/>
      <w:lvlJc w:val="left"/>
      <w:pPr>
        <w:ind w:left="425" w:hanging="425"/>
      </w:pPr>
      <w:rPr>
        <w:rFonts w:hint="default"/>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8"/>
      <w:suff w:val="nothing"/>
      <w:lvlText w:val="%1%2　"/>
      <w:lvlJc w:val="left"/>
      <w:pPr>
        <w:ind w:left="142"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43F8B"/>
    <w:rsid w:val="01D36AA6"/>
    <w:rsid w:val="054B5371"/>
    <w:rsid w:val="067F6F72"/>
    <w:rsid w:val="080301C8"/>
    <w:rsid w:val="1095397E"/>
    <w:rsid w:val="10BE139F"/>
    <w:rsid w:val="10F176CA"/>
    <w:rsid w:val="11D5017E"/>
    <w:rsid w:val="128C6F82"/>
    <w:rsid w:val="130C0B61"/>
    <w:rsid w:val="15202454"/>
    <w:rsid w:val="15511622"/>
    <w:rsid w:val="19C2491A"/>
    <w:rsid w:val="1B8A679C"/>
    <w:rsid w:val="1D345BE0"/>
    <w:rsid w:val="22892D16"/>
    <w:rsid w:val="233275EF"/>
    <w:rsid w:val="28A80BC2"/>
    <w:rsid w:val="28B1387B"/>
    <w:rsid w:val="301E1847"/>
    <w:rsid w:val="31E64A30"/>
    <w:rsid w:val="36E74775"/>
    <w:rsid w:val="3C0D4BED"/>
    <w:rsid w:val="3DEB2ACF"/>
    <w:rsid w:val="40580D85"/>
    <w:rsid w:val="40DB29C5"/>
    <w:rsid w:val="485F6737"/>
    <w:rsid w:val="496E3C72"/>
    <w:rsid w:val="49E73710"/>
    <w:rsid w:val="4F837B0A"/>
    <w:rsid w:val="5339596E"/>
    <w:rsid w:val="570F2729"/>
    <w:rsid w:val="60057FB3"/>
    <w:rsid w:val="60896093"/>
    <w:rsid w:val="61AB6086"/>
    <w:rsid w:val="630720C8"/>
    <w:rsid w:val="63E34F7D"/>
    <w:rsid w:val="66006ACB"/>
    <w:rsid w:val="6810255E"/>
    <w:rsid w:val="6AE55BEA"/>
    <w:rsid w:val="6C2B5A68"/>
    <w:rsid w:val="70734C65"/>
    <w:rsid w:val="73D4059A"/>
    <w:rsid w:val="73D5789A"/>
    <w:rsid w:val="73EE0442"/>
    <w:rsid w:val="740B742B"/>
    <w:rsid w:val="772A41E8"/>
    <w:rsid w:val="7C027CF4"/>
    <w:rsid w:val="7EF8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2"/>
    <w:basedOn w:val="1"/>
    <w:unhideWhenUsed/>
    <w:qFormat/>
    <w:uiPriority w:val="99"/>
    <w:pPr>
      <w:ind w:firstLine="420" w:firstLineChars="200"/>
    </w:pPr>
  </w:style>
  <w:style w:type="paragraph" w:customStyle="1" w:styleId="8">
    <w:name w:val="标准文件_章标题"/>
    <w:next w:val="9"/>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2938</Words>
  <Characters>3040</Characters>
  <Lines>0</Lines>
  <Paragraphs>0</Paragraphs>
  <TotalTime>2</TotalTime>
  <ScaleCrop>false</ScaleCrop>
  <LinksUpToDate>false</LinksUpToDate>
  <CharactersWithSpaces>3049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2025-06-26T03:37:00Z</dcterms:created>
  <dc:creator>Administrator</dc:creator>
  <cp:lastModifiedBy>Administrator</cp:lastModifiedBy>
  <dcterms:modified xsi:type="dcterms:W3CDTF">2025-07-31T04:14:09Z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eyJoZGlkIjoiYWYxYTQ0ZTE4YjY1OTM5MTEwOWVhMzMxOWUyZjc2NjkiLCJ1c2VySWQiOiIyODk4Nzk0NyJ9</vt:lpwstr>
  </property>
  <property fmtid="{D5CDD505-2E9C-101B-9397-08002B2CF9AE}" pid="4" name="ICV">
    <vt:lpwstr>3C8A11C11BAB4204AE93446C3B08469D_12</vt:lpwstr>
  </property>
</Properties>
</file>